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eastAsia="宋体"/>
          <w:lang w:val="en-US" w:eastAsia="zh-CN"/>
        </w:rPr>
      </w:pPr>
      <w:r>
        <w:rPr>
          <w:rFonts w:hint="eastAsia"/>
          <w:lang w:val="en-US" w:eastAsia="zh-CN"/>
        </w:rPr>
        <w:t xml:space="preserve">附件3:                </w:t>
      </w:r>
      <w:bookmarkStart w:id="0" w:name="_GoBack"/>
      <w:bookmarkEnd w:id="0"/>
      <w:r>
        <w:rPr>
          <w:rFonts w:hint="eastAsia"/>
          <w:lang w:val="en-US" w:eastAsia="zh-CN"/>
        </w:rPr>
        <w:t xml:space="preserve"> 评审打分表</w:t>
      </w:r>
    </w:p>
    <w:tbl>
      <w:tblPr>
        <w:tblStyle w:val="3"/>
        <w:tblW w:w="9848" w:type="dxa"/>
        <w:jc w:val="center"/>
        <w:tblLayout w:type="fixed"/>
        <w:tblCellMar>
          <w:top w:w="15" w:type="dxa"/>
          <w:left w:w="15" w:type="dxa"/>
          <w:bottom w:w="15" w:type="dxa"/>
          <w:right w:w="15" w:type="dxa"/>
        </w:tblCellMar>
      </w:tblPr>
      <w:tblGrid>
        <w:gridCol w:w="668"/>
        <w:gridCol w:w="1028"/>
        <w:gridCol w:w="1097"/>
        <w:gridCol w:w="6245"/>
        <w:gridCol w:w="810"/>
      </w:tblGrid>
      <w:tr>
        <w:tblPrEx>
          <w:tblCellMar>
            <w:top w:w="15" w:type="dxa"/>
            <w:left w:w="15" w:type="dxa"/>
            <w:bottom w:w="15" w:type="dxa"/>
            <w:right w:w="15" w:type="dxa"/>
          </w:tblCellMar>
        </w:tblPrEx>
        <w:trPr>
          <w:trHeight w:val="540" w:hRule="atLeast"/>
          <w:jc w:val="center"/>
        </w:trPr>
        <w:tc>
          <w:tcPr>
            <w:tcW w:w="66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auto"/>
              <w:ind w:left="0" w:leftChars="0" w:firstLine="0" w:firstLineChars="0"/>
              <w:jc w:val="center"/>
              <w:textAlignment w:val="center"/>
              <w:rPr>
                <w:rFonts w:ascii="宋体" w:hAnsi="宋体"/>
                <w:b/>
                <w:bCs w:val="0"/>
                <w:color w:val="000000"/>
                <w:sz w:val="24"/>
              </w:rPr>
            </w:pPr>
            <w:r>
              <w:rPr>
                <w:rFonts w:ascii="宋体" w:hAnsi="宋体"/>
                <w:b/>
                <w:bCs w:val="0"/>
                <w:color w:val="000000"/>
                <w:kern w:val="0"/>
                <w:sz w:val="24"/>
              </w:rPr>
              <w:t>序号</w:t>
            </w:r>
          </w:p>
        </w:tc>
        <w:tc>
          <w:tcPr>
            <w:tcW w:w="102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auto"/>
              <w:ind w:left="0" w:leftChars="0" w:firstLine="0" w:firstLineChars="0"/>
              <w:jc w:val="center"/>
              <w:textAlignment w:val="center"/>
              <w:rPr>
                <w:rFonts w:ascii="宋体" w:hAnsi="宋体"/>
                <w:b/>
                <w:bCs w:val="0"/>
                <w:color w:val="000000"/>
                <w:sz w:val="24"/>
              </w:rPr>
            </w:pPr>
            <w:r>
              <w:rPr>
                <w:rFonts w:ascii="宋体" w:hAnsi="宋体"/>
                <w:b/>
                <w:bCs w:val="0"/>
                <w:color w:val="000000"/>
                <w:kern w:val="0"/>
                <w:sz w:val="24"/>
              </w:rPr>
              <w:t>内容</w:t>
            </w:r>
          </w:p>
        </w:tc>
        <w:tc>
          <w:tcPr>
            <w:tcW w:w="109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auto"/>
              <w:ind w:left="0" w:leftChars="0" w:firstLine="0" w:firstLineChars="0"/>
              <w:jc w:val="center"/>
              <w:textAlignment w:val="center"/>
              <w:rPr>
                <w:rFonts w:ascii="宋体" w:hAnsi="宋体"/>
                <w:b/>
                <w:bCs w:val="0"/>
                <w:color w:val="000000"/>
                <w:kern w:val="0"/>
                <w:sz w:val="24"/>
              </w:rPr>
            </w:pPr>
            <w:r>
              <w:rPr>
                <w:rFonts w:ascii="宋体" w:hAnsi="宋体"/>
                <w:b/>
                <w:bCs w:val="0"/>
                <w:color w:val="000000"/>
                <w:kern w:val="0"/>
                <w:sz w:val="24"/>
              </w:rPr>
              <w:t>评审要素</w:t>
            </w:r>
          </w:p>
        </w:tc>
        <w:tc>
          <w:tcPr>
            <w:tcW w:w="6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b/>
                <w:bCs w:val="0"/>
                <w:color w:val="000000"/>
                <w:sz w:val="24"/>
              </w:rPr>
            </w:pPr>
            <w:r>
              <w:rPr>
                <w:rFonts w:ascii="宋体" w:hAnsi="宋体"/>
                <w:b/>
                <w:bCs w:val="0"/>
                <w:color w:val="000000"/>
                <w:kern w:val="0"/>
                <w:sz w:val="24"/>
              </w:rPr>
              <w:t>评分标准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0" w:firstLineChars="0"/>
              <w:jc w:val="center"/>
              <w:textAlignment w:val="center"/>
              <w:rPr>
                <w:rFonts w:ascii="宋体" w:hAnsi="宋体"/>
                <w:b/>
                <w:bCs w:val="0"/>
                <w:color w:val="000000"/>
                <w:sz w:val="24"/>
              </w:rPr>
            </w:pPr>
            <w:r>
              <w:rPr>
                <w:rFonts w:ascii="宋体" w:hAnsi="宋体"/>
                <w:b/>
                <w:bCs w:val="0"/>
                <w:color w:val="000000"/>
                <w:kern w:val="0"/>
                <w:sz w:val="24"/>
              </w:rPr>
              <w:t>分值</w:t>
            </w:r>
          </w:p>
        </w:tc>
      </w:tr>
      <w:tr>
        <w:tblPrEx>
          <w:tblCellMar>
            <w:top w:w="15" w:type="dxa"/>
            <w:left w:w="15" w:type="dxa"/>
            <w:bottom w:w="15" w:type="dxa"/>
            <w:right w:w="15" w:type="dxa"/>
          </w:tblCellMar>
        </w:tblPrEx>
        <w:trPr>
          <w:trHeight w:val="540" w:hRule="atLeast"/>
          <w:jc w:val="center"/>
        </w:trPr>
        <w:tc>
          <w:tcPr>
            <w:tcW w:w="668" w:type="dxa"/>
            <w:vMerge w:val="restart"/>
            <w:tcBorders>
              <w:top w:val="single" w:color="auto" w:sz="4" w:space="0"/>
              <w:left w:val="single" w:color="auto" w:sz="4" w:space="0"/>
              <w:right w:val="single" w:color="auto"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ascii="宋体" w:hAnsi="宋体"/>
                <w:b/>
                <w:bCs w:val="0"/>
                <w:color w:val="000000"/>
                <w:kern w:val="0"/>
                <w:sz w:val="24"/>
              </w:rPr>
              <w:t>1</w:t>
            </w:r>
          </w:p>
        </w:tc>
        <w:tc>
          <w:tcPr>
            <w:tcW w:w="1028" w:type="dxa"/>
            <w:vMerge w:val="restart"/>
            <w:tcBorders>
              <w:top w:val="single" w:color="auto" w:sz="4" w:space="0"/>
              <w:left w:val="single" w:color="auto" w:sz="4" w:space="0"/>
              <w:right w:val="single" w:color="auto" w:sz="4" w:space="0"/>
            </w:tcBorders>
            <w:noWrap w:val="0"/>
            <w:vAlign w:val="center"/>
          </w:tcPr>
          <w:p>
            <w:pPr>
              <w:pStyle w:val="5"/>
              <w:widowControl/>
              <w:spacing w:line="360" w:lineRule="exact"/>
              <w:ind w:firstLine="0" w:firstLineChars="0"/>
              <w:rPr>
                <w:rFonts w:ascii="宋体" w:hAnsi="宋体" w:eastAsia="宋体"/>
                <w:b/>
                <w:bCs w:val="0"/>
                <w:color w:val="000000"/>
                <w:sz w:val="24"/>
                <w:szCs w:val="24"/>
              </w:rPr>
            </w:pPr>
            <w:r>
              <w:rPr>
                <w:rFonts w:hint="eastAsia" w:ascii="宋体" w:hAnsi="宋体" w:eastAsia="华文仿宋" w:cs="??Regular"/>
                <w:b/>
                <w:bCs w:val="0"/>
                <w:color w:val="333333"/>
                <w:kern w:val="0"/>
                <w:sz w:val="24"/>
                <w:szCs w:val="24"/>
                <w:lang w:val="en-US" w:eastAsia="zh-CN" w:bidi="ar-SA"/>
              </w:rPr>
              <w:t>商务部分（40分）</w:t>
            </w:r>
            <w:r>
              <w:rPr>
                <w:rFonts w:hint="eastAsia" w:ascii="宋体" w:hAnsi="宋体" w:eastAsia="宋体"/>
                <w:b/>
                <w:bCs w:val="0"/>
                <w:color w:val="000000"/>
                <w:sz w:val="24"/>
                <w:szCs w:val="24"/>
              </w:rPr>
              <w:t xml:space="preserve"> </w:t>
            </w:r>
          </w:p>
        </w:tc>
        <w:tc>
          <w:tcPr>
            <w:tcW w:w="1097" w:type="dxa"/>
            <w:vMerge w:val="restart"/>
            <w:tcBorders>
              <w:top w:val="single" w:color="auto" w:sz="4" w:space="0"/>
              <w:left w:val="single" w:color="auto" w:sz="4" w:space="0"/>
              <w:right w:val="single" w:color="auto"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w:t>
            </w:r>
          </w:p>
          <w:p>
            <w:pPr>
              <w:pStyle w:val="5"/>
              <w:widowControl/>
              <w:spacing w:line="360" w:lineRule="exact"/>
              <w:ind w:firstLine="0" w:firstLineChars="0"/>
              <w:rPr>
                <w:rFonts w:ascii="宋体" w:hAnsi="宋体" w:eastAsia="宋体"/>
                <w:b/>
                <w:bCs w:val="0"/>
                <w:color w:val="000000"/>
                <w:sz w:val="24"/>
                <w:szCs w:val="24"/>
                <w:highlight w:val="none"/>
              </w:rPr>
            </w:pPr>
            <w:r>
              <w:rPr>
                <w:rFonts w:hint="eastAsia" w:ascii="宋体" w:hAnsi="宋体" w:eastAsia="华文仿宋" w:cs="??Regular"/>
                <w:b/>
                <w:bCs w:val="0"/>
                <w:color w:val="333333"/>
                <w:kern w:val="0"/>
                <w:sz w:val="24"/>
                <w:szCs w:val="24"/>
                <w:lang w:val="en-US" w:eastAsia="zh-CN" w:bidi="ar-SA"/>
              </w:rPr>
              <w:t>资质能力评价</w:t>
            </w: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投标人具有国家信息安全等级保护工作协调小组办公室颁发的全国网络安全等级保护测评机构先进单位证书的得5分，没有得零分。（提供证明材料复印件加盖公章）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ascii="宋体" w:hAnsi="宋体"/>
                <w:b/>
                <w:bCs w:val="0"/>
                <w:color w:val="000000"/>
                <w:kern w:val="0"/>
                <w:sz w:val="24"/>
              </w:rPr>
              <w:t>5</w:t>
            </w:r>
          </w:p>
        </w:tc>
      </w:tr>
      <w:tr>
        <w:tblPrEx>
          <w:tblCellMar>
            <w:top w:w="15" w:type="dxa"/>
            <w:left w:w="15" w:type="dxa"/>
            <w:bottom w:w="15" w:type="dxa"/>
            <w:right w:w="15" w:type="dxa"/>
          </w:tblCellMar>
        </w:tblPrEx>
        <w:trPr>
          <w:trHeight w:val="540"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97"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2017年至今，投标人每年参加中国合格评定国家认可委员会组织的测评机构信息系统安全等级保护测评能力验证计划，结果为3次满意的得5分，2次满意的得3分，1次满意得1分。（提供证明材料复印件加盖公章）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hint="eastAsia" w:ascii="宋体" w:hAnsi="宋体"/>
                <w:b/>
                <w:bCs w:val="0"/>
                <w:color w:val="000000"/>
                <w:kern w:val="0"/>
                <w:sz w:val="24"/>
              </w:rPr>
              <w:t>5</w:t>
            </w:r>
          </w:p>
        </w:tc>
      </w:tr>
      <w:tr>
        <w:tblPrEx>
          <w:tblCellMar>
            <w:top w:w="15" w:type="dxa"/>
            <w:left w:w="15" w:type="dxa"/>
            <w:bottom w:w="15" w:type="dxa"/>
            <w:right w:w="15" w:type="dxa"/>
          </w:tblCellMar>
        </w:tblPrEx>
        <w:trPr>
          <w:trHeight w:val="761"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97"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投标人具有ISO9001质量管理体系认证的得5分，没有得零分。（提供证书复印件加盖公章）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hint="eastAsia" w:ascii="宋体" w:hAnsi="宋体"/>
                <w:b/>
                <w:bCs w:val="0"/>
                <w:color w:val="000000"/>
                <w:kern w:val="0"/>
                <w:sz w:val="24"/>
              </w:rPr>
            </w:pPr>
            <w:r>
              <w:rPr>
                <w:rFonts w:hint="eastAsia" w:ascii="宋体" w:hAnsi="宋体"/>
                <w:b/>
                <w:bCs w:val="0"/>
                <w:color w:val="000000"/>
                <w:kern w:val="0"/>
                <w:sz w:val="24"/>
              </w:rPr>
              <w:t>5</w:t>
            </w:r>
          </w:p>
        </w:tc>
      </w:tr>
      <w:tr>
        <w:tblPrEx>
          <w:tblCellMar>
            <w:top w:w="15" w:type="dxa"/>
            <w:left w:w="15" w:type="dxa"/>
            <w:bottom w:w="15" w:type="dxa"/>
            <w:right w:w="15" w:type="dxa"/>
          </w:tblCellMar>
        </w:tblPrEx>
        <w:trPr>
          <w:trHeight w:val="761"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97"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投标人具有软件企业资质，得5分，没有得零分。（提供证书复印件加盖公章）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hint="eastAsia" w:ascii="宋体" w:hAnsi="宋体"/>
                <w:b/>
                <w:bCs w:val="0"/>
                <w:color w:val="000000"/>
                <w:kern w:val="0"/>
                <w:sz w:val="24"/>
              </w:rPr>
              <w:t>5</w:t>
            </w:r>
          </w:p>
        </w:tc>
      </w:tr>
      <w:tr>
        <w:tblPrEx>
          <w:tblCellMar>
            <w:top w:w="15" w:type="dxa"/>
            <w:left w:w="15" w:type="dxa"/>
            <w:bottom w:w="15" w:type="dxa"/>
            <w:right w:w="15" w:type="dxa"/>
          </w:tblCellMar>
        </w:tblPrEx>
        <w:trPr>
          <w:trHeight w:val="540"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97"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投标人具有省级含以上网络与信息安全通报中心颁发技术支撑单位资质，得5分，没有得零分。（提供证明材料复印件加盖公章）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hint="eastAsia" w:ascii="宋体" w:hAnsi="宋体"/>
                <w:b/>
                <w:bCs w:val="0"/>
                <w:color w:val="000000"/>
                <w:kern w:val="0"/>
                <w:sz w:val="24"/>
              </w:rPr>
              <w:t>5</w:t>
            </w:r>
          </w:p>
        </w:tc>
      </w:tr>
      <w:tr>
        <w:tblPrEx>
          <w:tblCellMar>
            <w:top w:w="15" w:type="dxa"/>
            <w:left w:w="15" w:type="dxa"/>
            <w:bottom w:w="15" w:type="dxa"/>
            <w:right w:w="15" w:type="dxa"/>
          </w:tblCellMar>
        </w:tblPrEx>
        <w:trPr>
          <w:trHeight w:val="540"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97"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ind w:left="0" w:leftChars="0" w:firstLine="0" w:firstLineChars="0"/>
              <w:jc w:val="both"/>
              <w:rPr>
                <w:rFonts w:ascii="宋体" w:hAnsi="宋体" w:cs="??Regular"/>
                <w:b/>
                <w:bCs w:val="0"/>
                <w:color w:val="333333"/>
                <w:kern w:val="0"/>
                <w:sz w:val="24"/>
              </w:rPr>
            </w:pPr>
            <w:r>
              <w:rPr>
                <w:rFonts w:hint="eastAsia" w:ascii="宋体" w:hAnsi="宋体" w:cs="??Regular"/>
                <w:b/>
                <w:bCs w:val="0"/>
                <w:color w:val="333333"/>
                <w:kern w:val="0"/>
                <w:sz w:val="24"/>
              </w:rPr>
              <w:t>投标人</w:t>
            </w:r>
            <w:r>
              <w:rPr>
                <w:rFonts w:hint="eastAsia" w:ascii="宋体" w:hAnsi="宋体" w:cs="??Regular"/>
                <w:b/>
                <w:bCs w:val="0"/>
                <w:color w:val="333333"/>
                <w:kern w:val="0"/>
                <w:sz w:val="24"/>
                <w:lang w:val="en-US" w:eastAsia="zh-CN"/>
              </w:rPr>
              <w:t>具有</w:t>
            </w:r>
            <w:r>
              <w:rPr>
                <w:rFonts w:hint="eastAsia" w:ascii="宋体" w:hAnsi="宋体" w:cs="??Regular"/>
                <w:b/>
                <w:bCs w:val="0"/>
                <w:color w:val="333333"/>
                <w:kern w:val="0"/>
                <w:sz w:val="24"/>
              </w:rPr>
              <w:t>国家信息安全测评风险评估类一级含以上信息安全服务资质证书的得</w:t>
            </w:r>
            <w:r>
              <w:rPr>
                <w:rFonts w:hint="eastAsia" w:ascii="宋体" w:hAnsi="宋体" w:cs="??Regular"/>
                <w:b/>
                <w:bCs w:val="0"/>
                <w:color w:val="333333"/>
                <w:kern w:val="0"/>
                <w:sz w:val="24"/>
                <w:lang w:val="en-US" w:eastAsia="zh-CN"/>
              </w:rPr>
              <w:t>5</w:t>
            </w:r>
            <w:r>
              <w:rPr>
                <w:rFonts w:hint="eastAsia" w:ascii="宋体" w:hAnsi="宋体" w:cs="??Regular"/>
                <w:b/>
                <w:bCs w:val="0"/>
                <w:color w:val="333333"/>
                <w:kern w:val="0"/>
                <w:sz w:val="24"/>
              </w:rPr>
              <w:t>分，没有得零分。（提供证书复印件加盖公章）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hint="eastAsia" w:ascii="宋体" w:hAnsi="宋体"/>
                <w:b/>
                <w:bCs w:val="0"/>
                <w:color w:val="000000"/>
                <w:kern w:val="0"/>
                <w:sz w:val="24"/>
              </w:rPr>
              <w:t>5</w:t>
            </w:r>
          </w:p>
        </w:tc>
      </w:tr>
      <w:tr>
        <w:tblPrEx>
          <w:tblCellMar>
            <w:top w:w="15" w:type="dxa"/>
            <w:left w:w="15" w:type="dxa"/>
            <w:bottom w:w="15" w:type="dxa"/>
            <w:right w:w="15" w:type="dxa"/>
          </w:tblCellMar>
        </w:tblPrEx>
        <w:trPr>
          <w:trHeight w:val="540" w:hRule="atLeast"/>
          <w:jc w:val="center"/>
        </w:trPr>
        <w:tc>
          <w:tcPr>
            <w:tcW w:w="668"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28"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1097"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b/>
                <w:bCs w:val="0"/>
                <w:color w:val="000000"/>
                <w:kern w:val="0"/>
                <w:sz w:val="24"/>
              </w:rPr>
            </w:pPr>
          </w:p>
        </w:tc>
        <w:tc>
          <w:tcPr>
            <w:tcW w:w="6245" w:type="dxa"/>
            <w:tcBorders>
              <w:top w:val="single" w:color="000000" w:sz="4" w:space="0"/>
              <w:left w:val="single" w:color="auto" w:sz="4" w:space="0"/>
              <w:bottom w:val="single" w:color="auto"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投标人近一年内具有等保测评服务合同案例，每个合同得1分，满分10分（提供合同关键页和项目验收报告复印件加盖公章）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hint="eastAsia" w:ascii="宋体" w:hAnsi="宋体"/>
                <w:b/>
                <w:bCs w:val="0"/>
                <w:color w:val="000000"/>
                <w:kern w:val="0"/>
                <w:sz w:val="24"/>
              </w:rPr>
            </w:pPr>
            <w:r>
              <w:rPr>
                <w:rFonts w:ascii="宋体" w:hAnsi="宋体"/>
                <w:b/>
                <w:bCs w:val="0"/>
                <w:color w:val="000000"/>
                <w:kern w:val="0"/>
                <w:sz w:val="24"/>
              </w:rPr>
              <w:t>1</w:t>
            </w:r>
            <w:r>
              <w:rPr>
                <w:rFonts w:hint="eastAsia" w:ascii="宋体" w:hAnsi="宋体"/>
                <w:b/>
                <w:bCs w:val="0"/>
                <w:color w:val="000000"/>
                <w:kern w:val="0"/>
                <w:sz w:val="24"/>
              </w:rPr>
              <w:t>0</w:t>
            </w:r>
          </w:p>
        </w:tc>
      </w:tr>
      <w:tr>
        <w:tblPrEx>
          <w:tblCellMar>
            <w:top w:w="15" w:type="dxa"/>
            <w:left w:w="15" w:type="dxa"/>
            <w:bottom w:w="15" w:type="dxa"/>
            <w:right w:w="15" w:type="dxa"/>
          </w:tblCellMar>
        </w:tblPrEx>
        <w:trPr>
          <w:trHeight w:val="540" w:hRule="atLeast"/>
          <w:jc w:val="center"/>
        </w:trPr>
        <w:tc>
          <w:tcPr>
            <w:tcW w:w="668" w:type="dxa"/>
            <w:vMerge w:val="restart"/>
            <w:tcBorders>
              <w:top w:val="single" w:color="auto" w:sz="4" w:space="0"/>
              <w:left w:val="single" w:color="auto" w:sz="4" w:space="0"/>
              <w:right w:val="single" w:color="auto" w:sz="4" w:space="0"/>
            </w:tcBorders>
            <w:noWrap w:val="0"/>
            <w:vAlign w:val="center"/>
          </w:tcPr>
          <w:p>
            <w:pPr>
              <w:widowControl/>
              <w:spacing w:line="360" w:lineRule="auto"/>
              <w:ind w:left="0" w:leftChars="0" w:firstLine="240" w:firstLineChars="100"/>
              <w:jc w:val="both"/>
              <w:textAlignment w:val="center"/>
              <w:rPr>
                <w:rFonts w:hint="eastAsia" w:ascii="宋体" w:hAnsi="宋体"/>
                <w:b/>
                <w:bCs w:val="0"/>
                <w:color w:val="000000"/>
                <w:kern w:val="0"/>
                <w:sz w:val="24"/>
              </w:rPr>
            </w:pPr>
            <w:r>
              <w:rPr>
                <w:rFonts w:hint="eastAsia" w:ascii="宋体" w:hAnsi="宋体"/>
                <w:b/>
                <w:bCs w:val="0"/>
                <w:color w:val="000000"/>
                <w:kern w:val="0"/>
                <w:sz w:val="24"/>
              </w:rPr>
              <w:t>2</w:t>
            </w:r>
          </w:p>
        </w:tc>
        <w:tc>
          <w:tcPr>
            <w:tcW w:w="1028" w:type="dxa"/>
            <w:vMerge w:val="restart"/>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b/>
                <w:bCs w:val="0"/>
                <w:color w:val="000000"/>
                <w:kern w:val="0"/>
                <w:sz w:val="24"/>
              </w:rPr>
            </w:pPr>
            <w:r>
              <w:rPr>
                <w:rFonts w:hint="eastAsia" w:ascii="宋体" w:hAnsi="宋体" w:eastAsia="华文仿宋" w:cs="??Regular"/>
                <w:b/>
                <w:bCs w:val="0"/>
                <w:color w:val="333333"/>
                <w:kern w:val="0"/>
                <w:sz w:val="24"/>
                <w:szCs w:val="24"/>
                <w:lang w:val="en-US" w:eastAsia="zh-CN" w:bidi="ar-SA"/>
              </w:rPr>
              <w:t>技术部分（50分）</w:t>
            </w:r>
          </w:p>
        </w:tc>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widowControl/>
              <w:spacing w:line="360" w:lineRule="exact"/>
              <w:ind w:firstLine="0" w:firstLineChars="0"/>
              <w:rPr>
                <w:rFonts w:ascii="宋体" w:hAnsi="宋体" w:eastAsia="宋体" w:cs="Times New Roman"/>
                <w:b/>
                <w:bCs w:val="0"/>
                <w:color w:val="000000"/>
                <w:kern w:val="0"/>
                <w:sz w:val="24"/>
                <w:szCs w:val="24"/>
                <w:highlight w:val="none"/>
                <w:lang w:val="en-US" w:eastAsia="zh-CN" w:bidi="ar-SA"/>
              </w:rPr>
            </w:pPr>
            <w:r>
              <w:rPr>
                <w:rFonts w:hint="eastAsia" w:ascii="宋体" w:hAnsi="宋体" w:eastAsia="华文仿宋" w:cs="??Regular"/>
                <w:b/>
                <w:bCs w:val="0"/>
                <w:color w:val="333333"/>
                <w:kern w:val="0"/>
                <w:sz w:val="24"/>
                <w:szCs w:val="24"/>
                <w:lang w:val="en-US" w:eastAsia="zh-CN" w:bidi="ar-SA"/>
              </w:rPr>
              <w:t>技术团队能力评价</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拟派本项目的项目总监具有丰富的测评管理能力，5年以上测评项目管理经验，同时具有高级测评师、高级信息系统项目管理师和省级（含）以上信息安全等级保护专家委员会专家三个证书的得5分，具备以上任意两个证书的得2分，否则不得分。（提供获证时间不少于5年的证书及最近三个月社保证明复印件加盖公章）</w:t>
            </w:r>
          </w:p>
        </w:tc>
        <w:tc>
          <w:tcPr>
            <w:tcW w:w="81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ascii="宋体" w:hAnsi="宋体"/>
                <w:b/>
                <w:bCs w:val="0"/>
                <w:color w:val="000000"/>
                <w:kern w:val="0"/>
                <w:sz w:val="24"/>
              </w:rPr>
              <w:t>5</w:t>
            </w:r>
          </w:p>
        </w:tc>
      </w:tr>
      <w:tr>
        <w:tblPrEx>
          <w:tblCellMar>
            <w:top w:w="15" w:type="dxa"/>
            <w:left w:w="15" w:type="dxa"/>
            <w:bottom w:w="15" w:type="dxa"/>
            <w:right w:w="15" w:type="dxa"/>
          </w:tblCellMar>
        </w:tblPrEx>
        <w:trPr>
          <w:trHeight w:val="1541"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97" w:type="dxa"/>
            <w:vMerge w:val="continue"/>
            <w:tcBorders>
              <w:top w:val="single" w:color="auto" w:sz="4" w:space="0"/>
              <w:left w:val="single" w:color="auto" w:sz="4" w:space="0"/>
              <w:right w:val="single" w:color="000000" w:sz="4" w:space="0"/>
            </w:tcBorders>
            <w:noWrap w:val="0"/>
            <w:vAlign w:val="center"/>
          </w:tcPr>
          <w:p>
            <w:pPr>
              <w:widowControl/>
              <w:spacing w:line="360" w:lineRule="auto"/>
              <w:jc w:val="center"/>
              <w:textAlignment w:val="center"/>
              <w:rPr>
                <w:rFonts w:ascii="宋体" w:hAnsi="宋体" w:eastAsia="宋体" w:cs="Times New Roman"/>
                <w:b/>
                <w:bCs w:val="0"/>
                <w:color w:val="000000"/>
                <w:kern w:val="0"/>
                <w:sz w:val="24"/>
                <w:szCs w:val="24"/>
                <w:lang w:val="en-US" w:eastAsia="zh-CN" w:bidi="ar-SA"/>
              </w:rPr>
            </w:pPr>
          </w:p>
        </w:tc>
        <w:tc>
          <w:tcPr>
            <w:tcW w:w="6245" w:type="dxa"/>
            <w:tcBorders>
              <w:top w:val="single" w:color="auto" w:sz="4" w:space="0"/>
              <w:left w:val="single" w:color="000000"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投标人近一年内获得过国家互联网应急中心颁发的国家信息安全漏洞共享平台（CNVD）原创漏洞证明,每个证明得1分，没有得零分，满分10分。（提供官网查询截图复印件加盖公章）。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sz w:val="24"/>
              </w:rPr>
            </w:pPr>
            <w:r>
              <w:rPr>
                <w:rFonts w:ascii="宋体" w:hAnsi="宋体"/>
                <w:b/>
                <w:bCs w:val="0"/>
                <w:color w:val="000000"/>
                <w:kern w:val="0"/>
                <w:sz w:val="24"/>
              </w:rPr>
              <w:t>10</w:t>
            </w:r>
          </w:p>
        </w:tc>
      </w:tr>
      <w:tr>
        <w:tblPrEx>
          <w:tblCellMar>
            <w:top w:w="15" w:type="dxa"/>
            <w:left w:w="15" w:type="dxa"/>
            <w:bottom w:w="15" w:type="dxa"/>
            <w:right w:w="15" w:type="dxa"/>
          </w:tblCellMar>
        </w:tblPrEx>
        <w:trPr>
          <w:trHeight w:val="1330"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97" w:type="dxa"/>
            <w:vMerge w:val="continue"/>
            <w:tcBorders>
              <w:left w:val="single" w:color="auto" w:sz="4" w:space="0"/>
              <w:bottom w:val="single" w:color="auto" w:sz="4" w:space="0"/>
              <w:right w:val="single" w:color="000000" w:sz="4" w:space="0"/>
            </w:tcBorders>
            <w:noWrap w:val="0"/>
            <w:vAlign w:val="top"/>
          </w:tcPr>
          <w:p>
            <w:pPr>
              <w:widowControl/>
              <w:spacing w:line="360" w:lineRule="auto"/>
              <w:jc w:val="left"/>
              <w:textAlignment w:val="center"/>
              <w:rPr>
                <w:rFonts w:ascii="宋体" w:hAnsi="宋体" w:eastAsia="宋体" w:cs="Times New Roman"/>
                <w:b/>
                <w:bCs w:val="0"/>
                <w:color w:val="000000"/>
                <w:kern w:val="0"/>
                <w:sz w:val="24"/>
                <w:szCs w:val="24"/>
                <w:highlight w:val="none"/>
                <w:lang w:val="en-US" w:eastAsia="zh-CN" w:bidi="ar-SA"/>
              </w:rPr>
            </w:pPr>
          </w:p>
        </w:tc>
        <w:tc>
          <w:tcPr>
            <w:tcW w:w="624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投标人技术人员具备等级保护测评师证书并同时具备以下证书:</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default" w:ascii="宋体" w:hAnsi="宋体" w:eastAsia="华文仿宋" w:cs="??Regular"/>
                <w:b/>
                <w:bCs w:val="0"/>
                <w:color w:val="333333"/>
                <w:kern w:val="0"/>
                <w:sz w:val="24"/>
                <w:szCs w:val="24"/>
                <w:lang w:val="en-US" w:eastAsia="zh-CN" w:bidi="ar-SA"/>
              </w:rPr>
              <w:fldChar w:fldCharType="begin"/>
            </w:r>
            <w:r>
              <w:rPr>
                <w:rFonts w:hint="default" w:ascii="宋体" w:hAnsi="宋体" w:eastAsia="华文仿宋" w:cs="??Regular"/>
                <w:b/>
                <w:bCs w:val="0"/>
                <w:color w:val="333333"/>
                <w:kern w:val="0"/>
                <w:sz w:val="24"/>
                <w:szCs w:val="24"/>
                <w:lang w:val="en-US" w:eastAsia="zh-CN" w:bidi="ar-SA"/>
              </w:rPr>
              <w:instrText xml:space="preserve"> HYPERLINK "http://www.baidu.com/link?url=PZAFpyZhsl-KlfYG4JWSkbU_5cnv0yNcGsEnzdEHGTB6QaJBwzoNI9_NZhHEr5qZKz_fzA5SU7z51HBsjRl-bNtalW93QThGcaqKtoslktkbpxjRp5So2nQ8GbLQ3Y6_xYFC2QDgN4134z4jKZDtAHu1LfngRBhOeWHqSKmdbyhKy38aLNY9O0CsYdmYTapJD-yNHtuzPUKj6d9JIQ8VviTMGbYoIxsWH4HR34IiAWSoSzNYuOha06mLvAJp6lqW" \t "https://www.baidu.com/_blank" </w:instrText>
            </w:r>
            <w:r>
              <w:rPr>
                <w:rFonts w:hint="default" w:ascii="宋体" w:hAnsi="宋体" w:eastAsia="华文仿宋" w:cs="??Regular"/>
                <w:b/>
                <w:bCs w:val="0"/>
                <w:color w:val="333333"/>
                <w:kern w:val="0"/>
                <w:sz w:val="24"/>
                <w:szCs w:val="24"/>
                <w:lang w:val="en-US" w:eastAsia="zh-CN" w:bidi="ar-SA"/>
              </w:rPr>
              <w:fldChar w:fldCharType="separate"/>
            </w:r>
            <w:r>
              <w:rPr>
                <w:rFonts w:hint="default" w:ascii="宋体" w:hAnsi="宋体" w:eastAsia="华文仿宋" w:cs="??Regular"/>
                <w:b/>
                <w:bCs w:val="0"/>
                <w:color w:val="333333"/>
                <w:kern w:val="0"/>
                <w:sz w:val="24"/>
                <w:szCs w:val="24"/>
                <w:lang w:val="en-US" w:eastAsia="zh-CN" w:bidi="ar-SA"/>
              </w:rPr>
              <w:t>注册网络安全渗透评估专业人员</w:t>
            </w:r>
            <w:r>
              <w:rPr>
                <w:rFonts w:hint="default" w:ascii="宋体" w:hAnsi="宋体" w:eastAsia="华文仿宋" w:cs="??Regular"/>
                <w:b/>
                <w:bCs w:val="0"/>
                <w:color w:val="333333"/>
                <w:kern w:val="0"/>
                <w:sz w:val="24"/>
                <w:szCs w:val="24"/>
                <w:lang w:val="en-US" w:eastAsia="zh-CN" w:bidi="ar-SA"/>
              </w:rPr>
              <w:fldChar w:fldCharType="end"/>
            </w:r>
            <w:r>
              <w:rPr>
                <w:rFonts w:hint="eastAsia" w:ascii="宋体" w:hAnsi="宋体" w:eastAsia="华文仿宋" w:cs="??Regular"/>
                <w:b/>
                <w:bCs w:val="0"/>
                <w:color w:val="333333"/>
                <w:kern w:val="0"/>
                <w:sz w:val="24"/>
                <w:szCs w:val="24"/>
                <w:lang w:val="en-US" w:eastAsia="zh-CN" w:bidi="ar-SA"/>
              </w:rPr>
              <w:t>（NSATP-A）证书，每名得1分，满分3分；</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 xml:space="preserve">高级信息系统项目管理师证书，每名得 1 分，满分 2 分; </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注册渗透测试工程师(CISP-PTE)证书，每名得 1 分，满分 2分;</w:t>
            </w:r>
          </w:p>
          <w:p>
            <w:pPr>
              <w:pStyle w:val="5"/>
              <w:widowControl/>
              <w:spacing w:line="360" w:lineRule="exact"/>
              <w:ind w:firstLine="0" w:firstLineChars="0"/>
              <w:rPr>
                <w:rFonts w:hint="default"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高级软件评测工程师证书，每名得 1 分，满分 3 分。</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（以上须提供相应证书及在投标单位近三个月连续不断的社保证明，复印件加盖公章。）</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注:同一人员具有多个证书的只参与一次评分。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sz w:val="24"/>
              </w:rPr>
            </w:pPr>
            <w:r>
              <w:rPr>
                <w:rFonts w:hint="eastAsia" w:ascii="宋体" w:hAnsi="宋体"/>
                <w:b/>
                <w:bCs w:val="0"/>
                <w:color w:val="000000"/>
                <w:kern w:val="0"/>
                <w:sz w:val="24"/>
              </w:rPr>
              <w:t>10</w:t>
            </w:r>
          </w:p>
        </w:tc>
      </w:tr>
      <w:tr>
        <w:tblPrEx>
          <w:tblCellMar>
            <w:top w:w="15" w:type="dxa"/>
            <w:left w:w="15" w:type="dxa"/>
            <w:bottom w:w="15" w:type="dxa"/>
            <w:right w:w="15" w:type="dxa"/>
          </w:tblCellMar>
        </w:tblPrEx>
        <w:trPr>
          <w:trHeight w:val="913"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both"/>
              <w:textAlignment w:val="center"/>
              <w:rPr>
                <w:rFonts w:ascii="宋体" w:hAnsi="宋体"/>
                <w:b/>
                <w:bCs w:val="0"/>
                <w:color w:val="000000"/>
                <w:kern w:val="0"/>
                <w:sz w:val="24"/>
              </w:rPr>
            </w:pPr>
            <w:r>
              <w:rPr>
                <w:rFonts w:hint="eastAsia" w:ascii="宋体" w:hAnsi="宋体" w:eastAsia="华文仿宋" w:cs="??Regular"/>
                <w:b/>
                <w:bCs w:val="0"/>
                <w:color w:val="333333"/>
                <w:kern w:val="0"/>
                <w:sz w:val="24"/>
                <w:szCs w:val="24"/>
                <w:lang w:val="en-US" w:eastAsia="zh-CN" w:bidi="ar-SA"/>
              </w:rPr>
              <w:t>工具评价</w:t>
            </w:r>
          </w:p>
        </w:tc>
        <w:tc>
          <w:tcPr>
            <w:tcW w:w="6245" w:type="dxa"/>
            <w:tcBorders>
              <w:top w:val="single" w:color="000000"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项目实施过程至少使用2种（含2种）同时获得中国国家信息安全产品认证证书和国家信息安全漏洞库兼容性资质证书的专业漏洞扫描等测评工具（如远程安全评估系统、等级保护威胁分析工具等），满足得5分，不满足得0分。（以上测评工具均以采购合同为准，需提供工具的相关证书复印件）</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kern w:val="0"/>
                <w:sz w:val="24"/>
              </w:rPr>
            </w:pPr>
            <w:r>
              <w:rPr>
                <w:rFonts w:hint="eastAsia" w:ascii="宋体" w:hAnsi="宋体"/>
                <w:b/>
                <w:bCs w:val="0"/>
                <w:color w:val="000000"/>
                <w:kern w:val="0"/>
                <w:sz w:val="24"/>
              </w:rPr>
              <w:t>5</w:t>
            </w:r>
          </w:p>
        </w:tc>
      </w:tr>
      <w:tr>
        <w:tblPrEx>
          <w:tblCellMar>
            <w:top w:w="15" w:type="dxa"/>
            <w:left w:w="15" w:type="dxa"/>
            <w:bottom w:w="15" w:type="dxa"/>
            <w:right w:w="15" w:type="dxa"/>
          </w:tblCellMar>
        </w:tblPrEx>
        <w:trPr>
          <w:trHeight w:val="1469" w:hRule="atLeast"/>
          <w:jc w:val="center"/>
        </w:trPr>
        <w:tc>
          <w:tcPr>
            <w:tcW w:w="66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97" w:type="dxa"/>
            <w:vMerge w:val="restart"/>
            <w:tcBorders>
              <w:top w:val="single" w:color="auto" w:sz="4" w:space="0"/>
              <w:left w:val="single" w:color="auto" w:sz="4" w:space="0"/>
              <w:right w:val="single" w:color="000000" w:sz="4" w:space="0"/>
            </w:tcBorders>
            <w:noWrap w:val="0"/>
            <w:vAlign w:val="center"/>
          </w:tcPr>
          <w:p>
            <w:pPr>
              <w:pStyle w:val="5"/>
              <w:widowControl/>
              <w:spacing w:line="360" w:lineRule="exact"/>
              <w:ind w:firstLine="0" w:firstLineChars="0"/>
              <w:rPr>
                <w:rFonts w:ascii="宋体" w:hAnsi="宋体" w:eastAsia="宋体"/>
                <w:b/>
                <w:bCs w:val="0"/>
                <w:color w:val="000000"/>
                <w:kern w:val="0"/>
                <w:sz w:val="24"/>
                <w:szCs w:val="24"/>
                <w:highlight w:val="none"/>
              </w:rPr>
            </w:pPr>
            <w:r>
              <w:rPr>
                <w:rFonts w:hint="eastAsia" w:ascii="宋体" w:hAnsi="宋体" w:eastAsia="华文仿宋" w:cs="??Regular"/>
                <w:b/>
                <w:bCs w:val="0"/>
                <w:color w:val="333333"/>
                <w:kern w:val="0"/>
                <w:sz w:val="24"/>
                <w:szCs w:val="24"/>
                <w:lang w:val="en-US" w:eastAsia="zh-CN" w:bidi="ar-SA"/>
              </w:rPr>
              <w:t>技术方案评价</w:t>
            </w:r>
          </w:p>
        </w:tc>
        <w:tc>
          <w:tcPr>
            <w:tcW w:w="6245" w:type="dxa"/>
            <w:vMerge w:val="restart"/>
            <w:tcBorders>
              <w:top w:val="single" w:color="000000" w:sz="4" w:space="0"/>
              <w:left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1、对招标文件中的各项服务需求的响应情况，包括但不限于服务内容的详细描述、服务对象、服务目标、服务成果等；</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2、对服务对象的网络结构、系统组成情况、业务功能的解读深入详细，方案贴合招标方实际现状。包含但不限于网络架构描述准确、系统组成清晰明了、业务功能目标明确、整体方案满足招标方需求等。</w:t>
            </w:r>
          </w:p>
          <w:p>
            <w:pPr>
              <w:pStyle w:val="5"/>
              <w:widowControl/>
              <w:spacing w:line="360" w:lineRule="exact"/>
              <w:ind w:firstLine="0" w:firstLineChars="0"/>
              <w:rPr>
                <w:rFonts w:hint="default"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3、实施方案包含但不限于①项目管理、实施计划、进度安排；②质量保证、风险规避措施；③人员配备、资质水平、项目经验，岗位分工；4、验收标准、成果交付、售后服务等；</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优秀得15-11分，良好得10-6分，一般得5-0分。</w:t>
            </w:r>
          </w:p>
        </w:tc>
        <w:tc>
          <w:tcPr>
            <w:tcW w:w="810" w:type="dxa"/>
            <w:vMerge w:val="restart"/>
            <w:tcBorders>
              <w:top w:val="single" w:color="000000" w:sz="4" w:space="0"/>
              <w:left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hint="eastAsia" w:ascii="宋体" w:hAnsi="宋体" w:eastAsia="宋体"/>
                <w:b/>
                <w:bCs w:val="0"/>
                <w:color w:val="000000"/>
                <w:sz w:val="24"/>
                <w:lang w:eastAsia="zh-CN"/>
              </w:rPr>
            </w:pPr>
            <w:r>
              <w:rPr>
                <w:rFonts w:ascii="宋体" w:hAnsi="宋体"/>
                <w:b/>
                <w:bCs w:val="0"/>
                <w:color w:val="000000"/>
                <w:kern w:val="0"/>
                <w:sz w:val="24"/>
              </w:rPr>
              <w:t>1</w:t>
            </w:r>
            <w:r>
              <w:rPr>
                <w:rFonts w:hint="eastAsia" w:ascii="宋体" w:hAnsi="宋体"/>
                <w:b/>
                <w:bCs w:val="0"/>
                <w:color w:val="000000"/>
                <w:kern w:val="0"/>
                <w:sz w:val="24"/>
                <w:lang w:val="en-US" w:eastAsia="zh-CN"/>
              </w:rPr>
              <w:t>5</w:t>
            </w:r>
          </w:p>
        </w:tc>
      </w:tr>
      <w:tr>
        <w:tblPrEx>
          <w:tblCellMar>
            <w:top w:w="15" w:type="dxa"/>
            <w:left w:w="15" w:type="dxa"/>
            <w:bottom w:w="15" w:type="dxa"/>
            <w:right w:w="15" w:type="dxa"/>
          </w:tblCellMar>
        </w:tblPrEx>
        <w:trPr>
          <w:trHeight w:val="1109" w:hRule="atLeast"/>
          <w:jc w:val="center"/>
        </w:trPr>
        <w:tc>
          <w:tcPr>
            <w:tcW w:w="668" w:type="dxa"/>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97" w:type="dxa"/>
            <w:vMerge w:val="continue"/>
            <w:tcBorders>
              <w:left w:val="single" w:color="auto" w:sz="4" w:space="0"/>
              <w:right w:val="single" w:color="000000" w:sz="4" w:space="0"/>
            </w:tcBorders>
            <w:noWrap w:val="0"/>
            <w:vAlign w:val="center"/>
          </w:tcPr>
          <w:p>
            <w:pPr>
              <w:pStyle w:val="5"/>
              <w:widowControl/>
              <w:spacing w:line="360" w:lineRule="exact"/>
              <w:ind w:firstLine="0" w:firstLineChars="0"/>
              <w:rPr>
                <w:rFonts w:hint="eastAsia" w:ascii="宋体" w:hAnsi="宋体" w:eastAsia="宋体"/>
                <w:b/>
                <w:bCs w:val="0"/>
                <w:color w:val="000000"/>
                <w:kern w:val="0"/>
                <w:sz w:val="24"/>
                <w:szCs w:val="24"/>
                <w:highlight w:val="none"/>
              </w:rPr>
            </w:pPr>
          </w:p>
        </w:tc>
        <w:tc>
          <w:tcPr>
            <w:tcW w:w="6245" w:type="dxa"/>
            <w:vMerge w:val="continue"/>
            <w:tcBorders>
              <w:left w:val="single" w:color="000000"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p>
        </w:tc>
        <w:tc>
          <w:tcPr>
            <w:tcW w:w="810"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both"/>
              <w:textAlignment w:val="center"/>
              <w:rPr>
                <w:rFonts w:ascii="宋体" w:hAnsi="宋体"/>
                <w:b/>
                <w:bCs w:val="0"/>
                <w:color w:val="000000"/>
                <w:kern w:val="0"/>
                <w:sz w:val="24"/>
              </w:rPr>
            </w:pPr>
          </w:p>
        </w:tc>
      </w:tr>
      <w:tr>
        <w:tblPrEx>
          <w:tblCellMar>
            <w:top w:w="15" w:type="dxa"/>
            <w:left w:w="15" w:type="dxa"/>
            <w:bottom w:w="15" w:type="dxa"/>
            <w:right w:w="15" w:type="dxa"/>
          </w:tblCellMar>
        </w:tblPrEx>
        <w:trPr>
          <w:trHeight w:val="594" w:hRule="atLeast"/>
          <w:jc w:val="center"/>
        </w:trPr>
        <w:tc>
          <w:tcPr>
            <w:tcW w:w="668" w:type="dxa"/>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28"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b/>
                <w:bCs w:val="0"/>
                <w:color w:val="000000"/>
                <w:sz w:val="24"/>
              </w:rPr>
            </w:pPr>
          </w:p>
        </w:tc>
        <w:tc>
          <w:tcPr>
            <w:tcW w:w="1097" w:type="dxa"/>
            <w:tcBorders>
              <w:top w:val="single" w:color="auto" w:sz="4" w:space="0"/>
              <w:left w:val="single" w:color="auto" w:sz="4" w:space="0"/>
              <w:bottom w:val="single" w:color="000000" w:sz="4" w:space="0"/>
              <w:right w:val="single" w:color="000000" w:sz="4" w:space="0"/>
            </w:tcBorders>
            <w:noWrap w:val="0"/>
            <w:vAlign w:val="center"/>
          </w:tcPr>
          <w:p>
            <w:pPr>
              <w:pStyle w:val="5"/>
              <w:widowControl/>
              <w:spacing w:line="360" w:lineRule="exact"/>
              <w:ind w:firstLine="0" w:firstLineChars="0"/>
              <w:rPr>
                <w:rFonts w:hint="default" w:ascii="宋体" w:hAnsi="宋体" w:eastAsia="宋体"/>
                <w:b/>
                <w:bCs w:val="0"/>
                <w:color w:val="000000"/>
                <w:kern w:val="0"/>
                <w:sz w:val="24"/>
                <w:szCs w:val="24"/>
                <w:highlight w:val="none"/>
                <w:lang w:val="en-US" w:eastAsia="zh-CN"/>
              </w:rPr>
            </w:pPr>
            <w:r>
              <w:rPr>
                <w:rFonts w:hint="eastAsia" w:ascii="宋体" w:hAnsi="宋体" w:eastAsia="华文仿宋" w:cs="??Regular"/>
                <w:b/>
                <w:bCs w:val="0"/>
                <w:color w:val="333333"/>
                <w:kern w:val="0"/>
                <w:sz w:val="24"/>
                <w:szCs w:val="24"/>
                <w:lang w:val="en-US" w:eastAsia="zh-CN" w:bidi="ar-SA"/>
              </w:rPr>
              <w:t>售后服务方案评价</w:t>
            </w:r>
          </w:p>
        </w:tc>
        <w:tc>
          <w:tcPr>
            <w:tcW w:w="624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投标人售后服务方案须包含但不限于:(1)售后服务内容、(2)服务方式、(3)人员配备、(4)服务响应等，对方案的完整性、整体结构合理性、可行性等方面进行评价，优秀得5分，良好得4-3分，一般得2-0分。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hint="default" w:ascii="宋体" w:hAnsi="宋体" w:eastAsia="宋体"/>
                <w:b/>
                <w:bCs w:val="0"/>
                <w:color w:val="000000"/>
                <w:kern w:val="0"/>
                <w:sz w:val="24"/>
                <w:lang w:val="en-US" w:eastAsia="zh-CN"/>
              </w:rPr>
            </w:pPr>
            <w:r>
              <w:rPr>
                <w:rFonts w:hint="eastAsia" w:ascii="宋体" w:hAnsi="宋体"/>
                <w:b/>
                <w:bCs w:val="0"/>
                <w:color w:val="000000"/>
                <w:kern w:val="0"/>
                <w:sz w:val="24"/>
                <w:lang w:val="en-US" w:eastAsia="zh-CN"/>
              </w:rPr>
              <w:t>5</w:t>
            </w:r>
          </w:p>
        </w:tc>
      </w:tr>
      <w:tr>
        <w:tblPrEx>
          <w:tblCellMar>
            <w:top w:w="15" w:type="dxa"/>
            <w:left w:w="15" w:type="dxa"/>
            <w:bottom w:w="15" w:type="dxa"/>
            <w:right w:w="15" w:type="dxa"/>
          </w:tblCellMar>
        </w:tblPrEx>
        <w:trPr>
          <w:trHeight w:val="946"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sz w:val="24"/>
              </w:rPr>
            </w:pPr>
            <w:r>
              <w:rPr>
                <w:rFonts w:ascii="宋体" w:hAnsi="宋体"/>
                <w:b/>
                <w:bCs w:val="0"/>
                <w:color w:val="000000"/>
                <w:kern w:val="0"/>
                <w:sz w:val="24"/>
              </w:rPr>
              <w:t>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0" w:firstLineChars="0"/>
              <w:jc w:val="both"/>
              <w:textAlignment w:val="center"/>
              <w:rPr>
                <w:rFonts w:ascii="宋体" w:hAnsi="宋体"/>
                <w:b/>
                <w:bCs w:val="0"/>
                <w:color w:val="000000"/>
                <w:sz w:val="24"/>
              </w:rPr>
            </w:pPr>
            <w:r>
              <w:rPr>
                <w:rFonts w:hint="eastAsia" w:ascii="宋体" w:hAnsi="宋体" w:eastAsia="华文仿宋" w:cs="??Regular"/>
                <w:b/>
                <w:bCs w:val="0"/>
                <w:color w:val="333333"/>
                <w:kern w:val="0"/>
                <w:sz w:val="24"/>
                <w:szCs w:val="24"/>
                <w:lang w:val="en-US" w:eastAsia="zh-CN" w:bidi="ar-SA"/>
              </w:rPr>
              <w:t>价格分（10分</w:t>
            </w:r>
            <w:r>
              <w:rPr>
                <w:rFonts w:hint="eastAsia" w:ascii="宋体" w:hAnsi="宋体"/>
                <w:b/>
                <w:bCs w:val="0"/>
                <w:color w:val="000000"/>
                <w:kern w:val="0"/>
                <w:sz w:val="24"/>
              </w:rPr>
              <w:t xml:space="preserve">） </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5"/>
              <w:widowControl/>
              <w:spacing w:line="360" w:lineRule="exact"/>
              <w:ind w:firstLine="0" w:firstLineChars="0"/>
              <w:rPr>
                <w:rFonts w:ascii="宋体" w:hAnsi="宋体" w:eastAsia="宋体"/>
                <w:b/>
                <w:bCs w:val="0"/>
                <w:color w:val="000000"/>
                <w:kern w:val="0"/>
                <w:sz w:val="24"/>
                <w:szCs w:val="24"/>
              </w:rPr>
            </w:pPr>
          </w:p>
        </w:tc>
        <w:tc>
          <w:tcPr>
            <w:tcW w:w="624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在有效投标报价中，以最低投标报价为基准价，其价格分为满分。其他投标人的报价分统一按下列公式计算：</w:t>
            </w:r>
          </w:p>
          <w:p>
            <w:pPr>
              <w:pStyle w:val="5"/>
              <w:widowControl/>
              <w:spacing w:line="360" w:lineRule="exact"/>
              <w:ind w:firstLine="0" w:firstLineChars="0"/>
              <w:rPr>
                <w:rFonts w:hint="eastAsia" w:ascii="宋体" w:hAnsi="宋体" w:eastAsia="华文仿宋" w:cs="??Regular"/>
                <w:b/>
                <w:bCs w:val="0"/>
                <w:color w:val="333333"/>
                <w:kern w:val="0"/>
                <w:sz w:val="24"/>
                <w:szCs w:val="24"/>
                <w:lang w:val="en-US" w:eastAsia="zh-CN" w:bidi="ar-SA"/>
              </w:rPr>
            </w:pPr>
            <w:r>
              <w:rPr>
                <w:rFonts w:hint="eastAsia" w:ascii="宋体" w:hAnsi="宋体" w:eastAsia="华文仿宋" w:cs="??Regular"/>
                <w:b/>
                <w:bCs w:val="0"/>
                <w:color w:val="333333"/>
                <w:kern w:val="0"/>
                <w:sz w:val="24"/>
                <w:szCs w:val="24"/>
                <w:lang w:val="en-US" w:eastAsia="zh-CN" w:bidi="ar-SA"/>
              </w:rPr>
              <w:t>投标报价得分=(评标基准价／投标报价)×10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0" w:leftChars="0" w:firstLine="240" w:firstLineChars="100"/>
              <w:jc w:val="both"/>
              <w:textAlignment w:val="center"/>
              <w:rPr>
                <w:rFonts w:ascii="宋体" w:hAnsi="宋体"/>
                <w:b/>
                <w:bCs w:val="0"/>
                <w:color w:val="000000"/>
                <w:sz w:val="24"/>
              </w:rPr>
            </w:pPr>
            <w:r>
              <w:rPr>
                <w:rFonts w:hint="eastAsia" w:ascii="宋体" w:hAnsi="宋体"/>
                <w:b/>
                <w:bCs w:val="0"/>
                <w:color w:val="000000"/>
                <w:kern w:val="0"/>
                <w:sz w:val="24"/>
              </w:rPr>
              <w:t>10</w:t>
            </w:r>
          </w:p>
        </w:tc>
      </w:tr>
    </w:tbl>
    <w:p>
      <w:pPr>
        <w:ind w:firstLine="480"/>
        <w:rPr>
          <w:rFonts w:hint="eastAsia"/>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Regular">
    <w:altName w:val="微软雅黑"/>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65253C51"/>
    <w:rsid w:val="6525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华文仿宋" w:cs="Times New Roman"/>
      <w:kern w:val="2"/>
      <w:sz w:val="24"/>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2022-11-23T03:56:00Z</dcterms:created>
  <dc:creator>爆炸的榴莲</dc:creator>
  <cp:lastModifiedBy>爆炸的榴莲</cp:lastModifiedBy>
  <dcterms:modified xsi:type="dcterms:W3CDTF">2022-11-23T03:57:23Z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75B613F22C9344F1ACB76C3E9527330E</vt:lpwstr>
  </property>
</Properties>
</file>